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           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25.12.2025 г.№ </w:t>
      </w:r>
      <w:r>
        <w:rPr>
          <w:rFonts w:ascii="FreeSerif" w:hAnsi="FreeSerif" w:cs="FreeSerif"/>
          <w:sz w:val="28"/>
          <w:szCs w:val="28"/>
        </w:rPr>
        <w:t xml:space="preserve">140</w:t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left="4536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2"/>
        <w:ind w:left="5760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2"/>
        <w:ind w:left="5760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2"/>
        <w:jc w:val="center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Объем поступлений доходов в бюджет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образования 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jc w:val="center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 кодам видов (подвидов) д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ходов на </w:t>
      </w:r>
      <w:r>
        <w:rPr>
          <w:rFonts w:ascii="FreeSerif" w:hAnsi="FreeSerif" w:eastAsia="FreeSerif" w:cs="FreeSerif"/>
          <w:sz w:val="28"/>
          <w:szCs w:val="28"/>
        </w:rPr>
        <w:t xml:space="preserve">плановый период </w:t>
      </w:r>
      <w:r>
        <w:rPr>
          <w:rFonts w:ascii="FreeSerif" w:hAnsi="FreeSerif" w:eastAsia="FreeSerif" w:cs="FreeSerif"/>
          <w:sz w:val="28"/>
          <w:szCs w:val="28"/>
        </w:rPr>
        <w:t xml:space="preserve">20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и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eastAsia="FreeSerif" w:cs="FreeSerif"/>
          <w:sz w:val="28"/>
          <w:szCs w:val="28"/>
        </w:rPr>
        <w:t xml:space="preserve">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jc w:val="center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2"/>
        <w:ind w:left="7080" w:right="-82" w:firstLine="708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(тыс. рублей)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54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4144"/>
        <w:gridCol w:w="1372"/>
        <w:gridCol w:w="137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Код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групп, подгрупп, статей, подстатей, элементов, программ (подпрограмм), кодов экономической классификации доходов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Годовое назначение 2027 г.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Годовое назначение 2028 г.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1 00 00000 00 0000 000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Доходы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1 422 741,5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1 409 915,1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5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1 01 00000 00 0000 000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Налоги на прибыль, доходы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894 435,0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871 829,0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1 01 01000 00 0000 110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Налог на прибыль организаций, зачисляемый в бюджеты субъектов Российской Федерации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24 011,0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24 881,0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1 01 02000 01 0000 110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Налог на доходы физических лиц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870 424,0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846 948,0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1 03 00000 00 0000 000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Налоги на товары (работы, услуги), реализуемые на территории Российской Федерации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62 854,9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64 342,5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1 03 02230 01 0000 110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vMerge w:val="restart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дифференцированных нормативов отчислений в местные бюджеты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vMerge w:val="restart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62 854,9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vMerge w:val="restart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64 342,5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1 03 02240 01 0000 110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vMerge w:val="continue"/>
            <w:textDirection w:val="lrTb"/>
            <w:noWrap w:val="false"/>
          </w:tcPr>
          <w:p>
            <w:pPr>
              <w:pStyle w:val="882"/>
            </w:pPr>
            <w:r/>
            <w:r/>
          </w:p>
        </w:tc>
        <w:tc>
          <w:tcPr>
            <w:tcW w:w="1372" w:type="dxa"/>
            <w:vAlign w:val="top"/>
            <w:vMerge w:val="continue"/>
            <w:textDirection w:val="lrTb"/>
            <w:noWrap w:val="false"/>
          </w:tcPr>
          <w:p>
            <w:pPr>
              <w:pStyle w:val="882"/>
              <w:jc w:val="right"/>
            </w:pPr>
            <w:r/>
            <w:r/>
          </w:p>
        </w:tc>
        <w:tc>
          <w:tcPr>
            <w:tcW w:w="1372" w:type="dxa"/>
            <w:vAlign w:val="top"/>
            <w:vMerge w:val="continue"/>
            <w:textDirection w:val="lrTb"/>
            <w:noWrap w:val="false"/>
          </w:tcPr>
          <w:p>
            <w:pPr>
              <w:pStyle w:val="882"/>
              <w:jc w:val="right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1 03 02250 01 0000 110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vMerge w:val="continue"/>
            <w:textDirection w:val="lrTb"/>
            <w:noWrap w:val="false"/>
          </w:tcPr>
          <w:p>
            <w:pPr>
              <w:pStyle w:val="882"/>
            </w:pPr>
            <w:r/>
            <w:r/>
          </w:p>
        </w:tc>
        <w:tc>
          <w:tcPr>
            <w:tcW w:w="1372" w:type="dxa"/>
            <w:vAlign w:val="top"/>
            <w:vMerge w:val="continue"/>
            <w:textDirection w:val="lrTb"/>
            <w:noWrap w:val="false"/>
          </w:tcPr>
          <w:p>
            <w:pPr>
              <w:pStyle w:val="882"/>
              <w:jc w:val="right"/>
            </w:pPr>
            <w:r/>
            <w:r/>
          </w:p>
        </w:tc>
        <w:tc>
          <w:tcPr>
            <w:tcW w:w="1372" w:type="dxa"/>
            <w:vAlign w:val="top"/>
            <w:vMerge w:val="continue"/>
            <w:textDirection w:val="lrTb"/>
            <w:noWrap w:val="false"/>
          </w:tcPr>
          <w:p>
            <w:pPr>
              <w:pStyle w:val="882"/>
              <w:jc w:val="right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1 03 02260 01 0000 110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vMerge w:val="continue"/>
            <w:textDirection w:val="lrTb"/>
            <w:noWrap w:val="false"/>
          </w:tcPr>
          <w:p>
            <w:pPr>
              <w:pStyle w:val="882"/>
            </w:pPr>
            <w:r/>
            <w:r/>
          </w:p>
        </w:tc>
        <w:tc>
          <w:tcPr>
            <w:tcW w:w="1372" w:type="dxa"/>
            <w:vAlign w:val="top"/>
            <w:vMerge w:val="continue"/>
            <w:textDirection w:val="lrTb"/>
            <w:noWrap w:val="false"/>
          </w:tcPr>
          <w:p>
            <w:pPr>
              <w:pStyle w:val="882"/>
              <w:jc w:val="right"/>
            </w:pPr>
            <w:r/>
            <w:r/>
          </w:p>
        </w:tc>
        <w:tc>
          <w:tcPr>
            <w:tcW w:w="1372" w:type="dxa"/>
            <w:vAlign w:val="top"/>
            <w:vMerge w:val="continue"/>
            <w:textDirection w:val="lrTb"/>
            <w:noWrap w:val="false"/>
          </w:tcPr>
          <w:p>
            <w:pPr>
              <w:pStyle w:val="882"/>
              <w:jc w:val="right"/>
            </w:pPr>
            <w:r/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1 05 00000 00 0000 000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Налоги на совокупный доход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260 639,0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265 852,0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1 05 01000 00 0000 110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Налог, взимаемый в связи с применением упрощенной системы налогообложения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150 858,0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153 875,0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1 05 03000 01 0000 110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Единый сельскохозяйственный налог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85 301,0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87 007,0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1 05 04060 02 0000 110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Налог, взимаемый в связи с применением патентной системы налогообложения, зачисляемый в бюджеты муниципальных округов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24 480,0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24 970,0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1 06 01020 14 0000 110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59 884,0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60 987,0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1 06 02000 02 0000 110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Налог на имущество организаций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</w:t>
            </w:r>
            <w:r>
              <w:rPr>
                <w:rFonts w:ascii="FreeSerif" w:hAnsi="FreeSerif" w:eastAsia="FreeSerif" w:cs="FreeSerif"/>
              </w:rPr>
              <w:t xml:space="preserve"> 684,0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2 738,0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1 06 06032 14 0000 110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Земельный налог с организаций, обладающих земельным участком, расположенным в границах муниципальных округов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38 079,0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38 840,0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1 06 06042 14 0000 110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Земельный налог с физических лиц, обладающих земельным участком, расположенным в границах муниципальных округов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42 250,0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42 926,0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1 08 00000 00 0000 000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Госпошлина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26 530,0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27 061,0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1 11 05000 00 0000 120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Арендная плата за земли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31 456,0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31 456,0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1 11 09044 14 0000 120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970,0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924,0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1 11 05074 14 0000 120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Доходы от сдачи в аренду имущества, составляющего казну муниципальных округов (за исключением земельных участков)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1 008,0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1 008,0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1 13 01994 14 0000 130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Прочие доходы от оказания платных услуг (работ) получателями средств бюджетов муниципальных округов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1 269,0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1 269,0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1 16 00000 00 0000 000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Денежные взыскания (штрафы), санкции, возмещение ущерба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682,6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682,6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2 00 00000 00 0000 000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1 788 586,0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1 744 015,7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2 02 10000 00 0000 150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Дотации бюджетам бюджетной системы Российской Федерации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196 788,3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203 790,7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2 02 20000 00 0000 150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Субсидии бюджетам бюджетной системы Российской Федерации (межбюджетные субсидии)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105 151,3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41 680,9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2 02 30000 00 0000 150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Субвенции бюджетам бюджетной системы Российской Федерации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1 486 646,4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1 498 544,1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 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4144" w:type="dxa"/>
            <w:vAlign w:val="top"/>
            <w:textDirection w:val="lrTb"/>
            <w:noWrap w:val="false"/>
          </w:tcPr>
          <w:p>
            <w:pPr>
              <w:pStyle w:val="882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Всего доходов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3 211 327,5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W w:w="1372" w:type="dxa"/>
            <w:vAlign w:val="top"/>
            <w:textDirection w:val="lrTb"/>
            <w:noWrap w:val="false"/>
          </w:tcPr>
          <w:p>
            <w:pPr>
              <w:pStyle w:val="882"/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3 153 930,8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</w:tbl>
    <w:p>
      <w:pPr>
        <w:pStyle w:val="882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2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2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82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82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округа, начальник финансового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82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управления администрации                                                                   С.В. Тертица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notePr/>
      <w:endnotePr/>
      <w:type w:val="nextPage"/>
      <w:pgSz w:w="11906" w:h="16838" w:orient="portrait"/>
      <w:pgMar w:top="709" w:right="624" w:bottom="1134" w:left="1701" w:header="284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separate"/>
    </w:r>
    <w:r>
      <w:rPr>
        <w:rStyle w:val="891"/>
      </w:rPr>
      <w:t xml:space="preserve">2</w:t>
    </w:r>
    <w:r>
      <w:rPr>
        <w:rStyle w:val="891"/>
      </w:rPr>
      <w:fldChar w:fldCharType="end"/>
    </w:r>
    <w:r>
      <w:rPr>
        <w:rStyle w:val="891"/>
      </w:rPr>
    </w:r>
    <w:r>
      <w:rPr>
        <w:rStyle w:val="891"/>
      </w:rPr>
    </w:r>
  </w:p>
  <w:p>
    <w:pPr>
      <w:pStyle w:val="89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0"/>
      <w:rPr>
        <w:rStyle w:val="891"/>
      </w:rPr>
      <w:framePr w:wrap="around" w:vAnchor="text" w:hAnchor="margin" w:xAlign="center" w:y="1"/>
    </w:pPr>
    <w:r>
      <w:rPr>
        <w:rStyle w:val="891"/>
      </w:rPr>
      <w:fldChar w:fldCharType="begin"/>
    </w:r>
    <w:r>
      <w:rPr>
        <w:rStyle w:val="891"/>
      </w:rPr>
      <w:instrText xml:space="preserve">PAGE  </w:instrText>
    </w:r>
    <w:r>
      <w:rPr>
        <w:rStyle w:val="891"/>
      </w:rPr>
      <w:fldChar w:fldCharType="end"/>
    </w:r>
    <w:r>
      <w:rPr>
        <w:rStyle w:val="891"/>
      </w:rPr>
    </w:r>
    <w:r>
      <w:rPr>
        <w:rStyle w:val="891"/>
      </w:rPr>
    </w:r>
  </w:p>
  <w:p>
    <w:pPr>
      <w:pStyle w:val="89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4">
    <w:name w:val="Heading 1"/>
    <w:basedOn w:val="882"/>
    <w:next w:val="882"/>
    <w:link w:val="70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5">
    <w:name w:val="Heading 1 Char"/>
    <w:link w:val="704"/>
    <w:uiPriority w:val="9"/>
    <w:rPr>
      <w:rFonts w:ascii="Arial" w:hAnsi="Arial" w:eastAsia="Arial" w:cs="Arial"/>
      <w:sz w:val="40"/>
      <w:szCs w:val="40"/>
    </w:rPr>
  </w:style>
  <w:style w:type="paragraph" w:styleId="706">
    <w:name w:val="Heading 2"/>
    <w:basedOn w:val="882"/>
    <w:next w:val="882"/>
    <w:link w:val="70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7">
    <w:name w:val="Heading 2 Char"/>
    <w:link w:val="706"/>
    <w:uiPriority w:val="9"/>
    <w:rPr>
      <w:rFonts w:ascii="Arial" w:hAnsi="Arial" w:eastAsia="Arial" w:cs="Arial"/>
      <w:sz w:val="34"/>
    </w:rPr>
  </w:style>
  <w:style w:type="paragraph" w:styleId="708">
    <w:name w:val="Heading 3"/>
    <w:basedOn w:val="882"/>
    <w:next w:val="882"/>
    <w:link w:val="70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9">
    <w:name w:val="Heading 3 Char"/>
    <w:link w:val="708"/>
    <w:uiPriority w:val="9"/>
    <w:rPr>
      <w:rFonts w:ascii="Arial" w:hAnsi="Arial" w:eastAsia="Arial" w:cs="Arial"/>
      <w:sz w:val="30"/>
      <w:szCs w:val="30"/>
    </w:rPr>
  </w:style>
  <w:style w:type="paragraph" w:styleId="710">
    <w:name w:val="Heading 4"/>
    <w:basedOn w:val="882"/>
    <w:next w:val="882"/>
    <w:link w:val="71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1">
    <w:name w:val="Heading 4 Char"/>
    <w:link w:val="710"/>
    <w:uiPriority w:val="9"/>
    <w:rPr>
      <w:rFonts w:ascii="Arial" w:hAnsi="Arial" w:eastAsia="Arial" w:cs="Arial"/>
      <w:b/>
      <w:bCs/>
      <w:sz w:val="26"/>
      <w:szCs w:val="26"/>
    </w:rPr>
  </w:style>
  <w:style w:type="paragraph" w:styleId="712">
    <w:name w:val="Heading 5"/>
    <w:basedOn w:val="882"/>
    <w:next w:val="882"/>
    <w:link w:val="71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3">
    <w:name w:val="Heading 5 Char"/>
    <w:link w:val="712"/>
    <w:uiPriority w:val="9"/>
    <w:rPr>
      <w:rFonts w:ascii="Arial" w:hAnsi="Arial" w:eastAsia="Arial" w:cs="Arial"/>
      <w:b/>
      <w:bCs/>
      <w:sz w:val="24"/>
      <w:szCs w:val="24"/>
    </w:rPr>
  </w:style>
  <w:style w:type="paragraph" w:styleId="714">
    <w:name w:val="Heading 6"/>
    <w:basedOn w:val="882"/>
    <w:next w:val="882"/>
    <w:link w:val="71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5">
    <w:name w:val="Heading 6 Char"/>
    <w:link w:val="714"/>
    <w:uiPriority w:val="9"/>
    <w:rPr>
      <w:rFonts w:ascii="Arial" w:hAnsi="Arial" w:eastAsia="Arial" w:cs="Arial"/>
      <w:b/>
      <w:bCs/>
      <w:sz w:val="22"/>
      <w:szCs w:val="22"/>
    </w:rPr>
  </w:style>
  <w:style w:type="paragraph" w:styleId="716">
    <w:name w:val="Heading 7"/>
    <w:basedOn w:val="882"/>
    <w:next w:val="882"/>
    <w:link w:val="71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7">
    <w:name w:val="Heading 7 Char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8">
    <w:name w:val="Heading 8"/>
    <w:basedOn w:val="882"/>
    <w:next w:val="882"/>
    <w:link w:val="71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9">
    <w:name w:val="Heading 8 Char"/>
    <w:link w:val="718"/>
    <w:uiPriority w:val="9"/>
    <w:rPr>
      <w:rFonts w:ascii="Arial" w:hAnsi="Arial" w:eastAsia="Arial" w:cs="Arial"/>
      <w:i/>
      <w:iCs/>
      <w:sz w:val="22"/>
      <w:szCs w:val="22"/>
    </w:rPr>
  </w:style>
  <w:style w:type="paragraph" w:styleId="720">
    <w:name w:val="Heading 9"/>
    <w:basedOn w:val="882"/>
    <w:next w:val="882"/>
    <w:link w:val="7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1">
    <w:name w:val="Heading 9 Char"/>
    <w:link w:val="720"/>
    <w:uiPriority w:val="9"/>
    <w:rPr>
      <w:rFonts w:ascii="Arial" w:hAnsi="Arial" w:eastAsia="Arial" w:cs="Arial"/>
      <w:i/>
      <w:iCs/>
      <w:sz w:val="21"/>
      <w:szCs w:val="21"/>
    </w:rPr>
  </w:style>
  <w:style w:type="paragraph" w:styleId="722">
    <w:name w:val="List Paragraph"/>
    <w:basedOn w:val="882"/>
    <w:uiPriority w:val="34"/>
    <w:qFormat/>
    <w:pPr>
      <w:contextualSpacing/>
      <w:ind w:left="720"/>
    </w:pPr>
  </w:style>
  <w:style w:type="paragraph" w:styleId="723">
    <w:name w:val="No Spacing"/>
    <w:uiPriority w:val="1"/>
    <w:qFormat/>
    <w:pPr>
      <w:spacing w:before="0" w:after="0" w:line="240" w:lineRule="auto"/>
    </w:pPr>
  </w:style>
  <w:style w:type="paragraph" w:styleId="724">
    <w:name w:val="Title"/>
    <w:basedOn w:val="882"/>
    <w:next w:val="882"/>
    <w:link w:val="72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5">
    <w:name w:val="Title Char"/>
    <w:link w:val="724"/>
    <w:uiPriority w:val="10"/>
    <w:rPr>
      <w:sz w:val="48"/>
      <w:szCs w:val="48"/>
    </w:rPr>
  </w:style>
  <w:style w:type="paragraph" w:styleId="726">
    <w:name w:val="Subtitle"/>
    <w:basedOn w:val="882"/>
    <w:next w:val="882"/>
    <w:link w:val="727"/>
    <w:uiPriority w:val="11"/>
    <w:qFormat/>
    <w:pPr>
      <w:spacing w:before="200" w:after="200"/>
    </w:pPr>
    <w:rPr>
      <w:sz w:val="24"/>
      <w:szCs w:val="24"/>
    </w:rPr>
  </w:style>
  <w:style w:type="character" w:styleId="727">
    <w:name w:val="Subtitle Char"/>
    <w:link w:val="726"/>
    <w:uiPriority w:val="11"/>
    <w:rPr>
      <w:sz w:val="24"/>
      <w:szCs w:val="24"/>
    </w:rPr>
  </w:style>
  <w:style w:type="paragraph" w:styleId="728">
    <w:name w:val="Quote"/>
    <w:basedOn w:val="882"/>
    <w:next w:val="882"/>
    <w:link w:val="729"/>
    <w:uiPriority w:val="29"/>
    <w:qFormat/>
    <w:pPr>
      <w:ind w:left="720" w:right="720"/>
    </w:pPr>
    <w:rPr>
      <w:i/>
    </w:rPr>
  </w:style>
  <w:style w:type="character" w:styleId="729">
    <w:name w:val="Quote Char"/>
    <w:link w:val="728"/>
    <w:uiPriority w:val="29"/>
    <w:rPr>
      <w:i/>
    </w:rPr>
  </w:style>
  <w:style w:type="paragraph" w:styleId="730">
    <w:name w:val="Intense Quote"/>
    <w:basedOn w:val="882"/>
    <w:next w:val="882"/>
    <w:link w:val="73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1">
    <w:name w:val="Intense Quote Char"/>
    <w:link w:val="730"/>
    <w:uiPriority w:val="30"/>
    <w:rPr>
      <w:i/>
    </w:rPr>
  </w:style>
  <w:style w:type="paragraph" w:styleId="732">
    <w:name w:val="Header"/>
    <w:basedOn w:val="882"/>
    <w:link w:val="73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Header Char"/>
    <w:link w:val="732"/>
    <w:uiPriority w:val="99"/>
  </w:style>
  <w:style w:type="paragraph" w:styleId="734">
    <w:name w:val="Footer"/>
    <w:basedOn w:val="882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5">
    <w:name w:val="Footer Char"/>
    <w:link w:val="734"/>
    <w:uiPriority w:val="99"/>
  </w:style>
  <w:style w:type="paragraph" w:styleId="736">
    <w:name w:val="Caption"/>
    <w:basedOn w:val="882"/>
    <w:next w:val="88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7">
    <w:name w:val="Caption Char"/>
    <w:basedOn w:val="736"/>
    <w:link w:val="734"/>
    <w:uiPriority w:val="99"/>
  </w:style>
  <w:style w:type="table" w:styleId="73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next w:val="882"/>
    <w:link w:val="882"/>
    <w:qFormat/>
    <w:rPr>
      <w:sz w:val="24"/>
      <w:szCs w:val="24"/>
      <w:lang w:val="ru-RU" w:eastAsia="ru-RU" w:bidi="ar-SA"/>
    </w:rPr>
  </w:style>
  <w:style w:type="paragraph" w:styleId="883">
    <w:name w:val="Заголовок 1"/>
    <w:basedOn w:val="882"/>
    <w:next w:val="882"/>
    <w:link w:val="882"/>
    <w:qFormat/>
    <w:pPr>
      <w:ind w:right="-1188"/>
      <w:jc w:val="center"/>
      <w:keepNext/>
      <w:outlineLvl w:val="0"/>
    </w:pPr>
    <w:rPr>
      <w:sz w:val="28"/>
    </w:rPr>
  </w:style>
  <w:style w:type="paragraph" w:styleId="884">
    <w:name w:val="Заголовок 2"/>
    <w:basedOn w:val="882"/>
    <w:next w:val="882"/>
    <w:link w:val="882"/>
    <w:qFormat/>
    <w:pPr>
      <w:keepNext/>
      <w:tabs>
        <w:tab w:val="left" w:pos="5985" w:leader="none"/>
        <w:tab w:val="right" w:pos="9355" w:leader="none"/>
      </w:tabs>
      <w:outlineLvl w:val="1"/>
    </w:pPr>
    <w:rPr>
      <w:sz w:val="28"/>
      <w:szCs w:val="28"/>
    </w:rPr>
  </w:style>
  <w:style w:type="paragraph" w:styleId="885">
    <w:name w:val="Заголовок 3"/>
    <w:basedOn w:val="882"/>
    <w:next w:val="882"/>
    <w:link w:val="882"/>
    <w:qFormat/>
    <w:pPr>
      <w:keepNext/>
      <w:outlineLvl w:val="2"/>
    </w:pPr>
    <w:rPr>
      <w:b/>
      <w:bCs/>
      <w:color w:val="000000"/>
      <w:szCs w:val="28"/>
    </w:rPr>
  </w:style>
  <w:style w:type="paragraph" w:styleId="886">
    <w:name w:val="Заголовок 4"/>
    <w:basedOn w:val="882"/>
    <w:next w:val="882"/>
    <w:link w:val="882"/>
    <w:qFormat/>
    <w:pPr>
      <w:ind w:left="5760"/>
      <w:jc w:val="center"/>
      <w:keepNext/>
      <w:outlineLvl w:val="3"/>
    </w:pPr>
    <w:rPr>
      <w:sz w:val="28"/>
    </w:rPr>
  </w:style>
  <w:style w:type="character" w:styleId="887">
    <w:name w:val="Основной шрифт абзаца"/>
    <w:next w:val="887"/>
    <w:link w:val="882"/>
    <w:semiHidden/>
  </w:style>
  <w:style w:type="table" w:styleId="888">
    <w:name w:val="Обычная таблица"/>
    <w:next w:val="888"/>
    <w:link w:val="882"/>
    <w:semiHidden/>
    <w:tblPr/>
  </w:style>
  <w:style w:type="numbering" w:styleId="889">
    <w:name w:val="Нет списка"/>
    <w:next w:val="889"/>
    <w:link w:val="882"/>
    <w:semiHidden/>
  </w:style>
  <w:style w:type="paragraph" w:styleId="890">
    <w:name w:val="Верхний колонтитул"/>
    <w:basedOn w:val="882"/>
    <w:next w:val="890"/>
    <w:link w:val="882"/>
    <w:pPr>
      <w:tabs>
        <w:tab w:val="center" w:pos="4677" w:leader="none"/>
        <w:tab w:val="right" w:pos="9355" w:leader="none"/>
      </w:tabs>
    </w:pPr>
  </w:style>
  <w:style w:type="character" w:styleId="891">
    <w:name w:val="Номер страницы"/>
    <w:basedOn w:val="887"/>
    <w:next w:val="891"/>
    <w:link w:val="882"/>
  </w:style>
  <w:style w:type="paragraph" w:styleId="892">
    <w:name w:val="Текст выноски"/>
    <w:basedOn w:val="882"/>
    <w:next w:val="892"/>
    <w:link w:val="882"/>
    <w:semiHidden/>
    <w:rPr>
      <w:rFonts w:ascii="Tahoma" w:hAnsi="Tahoma" w:cs="Tahoma"/>
      <w:sz w:val="16"/>
      <w:szCs w:val="16"/>
    </w:rPr>
  </w:style>
  <w:style w:type="character" w:styleId="893">
    <w:name w:val="Цветовое выделение"/>
    <w:next w:val="893"/>
    <w:link w:val="882"/>
    <w:rPr>
      <w:b/>
      <w:color w:val="26282f"/>
      <w:sz w:val="26"/>
    </w:rPr>
  </w:style>
  <w:style w:type="table" w:styleId="894">
    <w:name w:val="Сетка таблицы"/>
    <w:basedOn w:val="888"/>
    <w:next w:val="894"/>
    <w:link w:val="882"/>
    <w:tblPr/>
  </w:style>
  <w:style w:type="character" w:styleId="895" w:default="1">
    <w:name w:val="Default Paragraph Font"/>
    <w:uiPriority w:val="1"/>
    <w:semiHidden/>
    <w:unhideWhenUsed/>
  </w:style>
  <w:style w:type="numbering" w:styleId="896" w:default="1">
    <w:name w:val="No List"/>
    <w:uiPriority w:val="99"/>
    <w:semiHidden/>
    <w:unhideWhenUsed/>
  </w:style>
  <w:style w:type="table" w:styleId="89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creator>andrushchenko</dc:creator>
  <cp:revision>15</cp:revision>
  <dcterms:created xsi:type="dcterms:W3CDTF">2024-11-10T15:44:00Z</dcterms:created>
  <dcterms:modified xsi:type="dcterms:W3CDTF">2025-12-26T12:26:03Z</dcterms:modified>
  <cp:version>917504</cp:version>
</cp:coreProperties>
</file>